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114300" distR="114300">
            <wp:extent cx="3600450" cy="390525"/>
            <wp:effectExtent b="0" l="0" r="0" t="0"/>
            <wp:docPr id="102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600450" cy="3905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Акционерное общество «</w:t>
      </w:r>
      <w:hyperlink r:id="rId8">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Научно-исследовательский и конструкторский институт центробежных и роторных компрессоров им. В.Б. Шнеппа»</w:t>
        </w:r>
      </w:hyperlink>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ХIХ МЕЖДУНАРОДНАЯ НАУЧНО-ТЕХНИЧЕСКАЯ КОНФЕРЕНЦИЯ</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 компрессорной технике,</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посвященная 100-летию со дня рождения В.Б. Шнеппа (МНТК НТК 2024)</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20-21 июня 2024 года, Казань</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МНТК НТК 2024 продолжает традиции цикла Международных научно-технических конференций по компрессорной технике, которые с 1993 года регулярно проводит в Казани АО «НИИтурбокомпрессор</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им. В.Б. Шнеппа».</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highlight w:val="white"/>
          <w:u w:val="none"/>
          <w:vertAlign w:val="baseline"/>
          <w:rtl w:val="0"/>
        </w:rPr>
        <w:t xml:space="preserve">Конференция охватывает ряд тем,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связанных с прикладными и фундаментальными аспектами в сфере конструирования и изготовления компрессорного оборудования, технологической проработки и подготовки производства, а также вопросы развития новых отечественных разработок и технологий в области компрессорного машиностроения.</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В конференции участвуют представители крупнейших российских нефтегазодобывающих и перерабатывающих компаний, таких как ООО «Газпром ВНИИГАЗ», ООО «Газпром добыча Ямбург», ООО «Газпром добыча Уренгой», ООО «Газпром трансгаз Казань», ПАО «НОВАТЭК», крупнейшие поставщики компрессорного и иного оборудования для газовой промышленности, проектные и инжиниринговые компании – ООО НПФ «ЭнТехМаш», АО «НПФ Невинтермаш», АО «ВНИИХОЛОДМАШ», ООО «НУМЕКА», АО «Группа ГМС», ОАО «Пензкомпрессормаш», АО «МХК «ЕвроХим», ОАО «Сибнефтетранспроект», ООО «Вега ГАЗ», ООО «Транскул» и др.; а также ученые и инженеры отраслевых научно-исследовательских институтов и вузов, расположенных в Москве, Санкт- Петербурге, Омске и Казани.</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СЕКЦИИ КОНФЕРЕНЦИИ:</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Секция 1.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«Объемные компрессоры и установки»</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Секция 2.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«Центробежные, осевые компрессоры, газоперекачивающие агрегаты, компрессоры, детандеры холодильных и криогенных систем»</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Секция 3.</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 «Динамика, прочность, подшипники, уплотнения, эксплуатация, импортозамещение, техническая диагностика и повышение ресурса компрессоров»</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Вся необходимая информация представлена на сайте НИИТК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https://niitk-kazan.ru/</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Все статьи должны быть представлены на русском языке. Статьи не могут быть представлены на других конференциях или опубликованы в журналах. Статьи будут опубликованы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в сборнике трудов к началу работы Конференции</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Участие в МНТК НТК 2024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очное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ВАЖНЫЕ ДАТЫ:</w:t>
      </w:r>
      <w:r w:rsidDel="00000000" w:rsidR="00000000" w:rsidRPr="00000000">
        <w:rPr>
          <w:rtl w:val="0"/>
        </w:rPr>
      </w:r>
    </w:p>
    <w:tbl>
      <w:tblPr>
        <w:tblStyle w:val="Table1"/>
        <w:tblW w:w="10682.0" w:type="dxa"/>
        <w:jc w:val="left"/>
        <w:tblInd w:w="567.0" w:type="dxa"/>
        <w:tblLayout w:type="fixed"/>
        <w:tblLook w:val="0000"/>
      </w:tblPr>
      <w:tblGrid>
        <w:gridCol w:w="5341"/>
        <w:gridCol w:w="5341"/>
        <w:tblGridChange w:id="0">
          <w:tblGrid>
            <w:gridCol w:w="5341"/>
            <w:gridCol w:w="5341"/>
          </w:tblGrid>
        </w:tblGridChange>
      </w:tblGrid>
      <w:tr>
        <w:trPr>
          <w:cantSplit w:val="0"/>
          <w:tblHeader w:val="0"/>
        </w:trPr>
        <w:tc>
          <w:tcPr>
            <w:vAlign w:val="top"/>
          </w:tcPr>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Представление статей</w:t>
            </w:r>
          </w:p>
        </w:tc>
        <w:tc>
          <w:tcPr>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highlight w:val="yellow"/>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до 15.03.2024</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г</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Рецензирование статей</w:t>
            </w:r>
          </w:p>
        </w:tc>
        <w:tc>
          <w:tcPr>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до 01.04.2024</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Оплата организационного взноса</w:t>
            </w:r>
          </w:p>
        </w:tc>
        <w:tc>
          <w:tcPr>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до 01.04.2024</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(после принятия статьи)</w:t>
            </w:r>
          </w:p>
        </w:tc>
      </w:tr>
    </w:tbl>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РАЗМЕР ОРГАНИЗАЦИОННОГО ВЗНОСА:</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1429" w:right="0" w:hanging="36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один участник, выступающий с одним докладом от предприятия (очно) – </w:t>
      </w: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30 000 рублей;</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0" w:before="0" w:line="240" w:lineRule="auto"/>
        <w:ind w:left="1429" w:right="0" w:hanging="36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другой участник этой же организации, выступающий с докладом - </w:t>
      </w: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15 000 рублей;</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29" w:right="0" w:hanging="36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для аспирантов, докторантов и слушателей (участник без доклада)</w:t>
      </w: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 – 10000 рублей;</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ffffff" w:val="clear"/>
        <w:spacing w:after="120" w:before="0" w:line="240" w:lineRule="auto"/>
        <w:ind w:left="1429" w:right="0" w:hanging="36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каждый дополнительный доклад этого же участника - </w:t>
      </w: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5 000 рублей.</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ОРГАНИЗАЦИОННЫЙ ВЗНОС ВКЛЮЧАЕТ В СЕБЯ:</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76" w:lineRule="auto"/>
        <w:ind w:left="1134"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Участие в заседаниях Конференции;</w:t>
      </w:r>
    </w:p>
    <w:p w:rsidR="00000000" w:rsidDel="00000000" w:rsidP="00000000" w:rsidRDefault="00000000" w:rsidRPr="00000000" w14:paraId="0000003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76" w:lineRule="auto"/>
        <w:ind w:left="1134"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Выступление с докладами;</w:t>
      </w:r>
    </w:p>
    <w:p w:rsidR="00000000" w:rsidDel="00000000" w:rsidP="00000000" w:rsidRDefault="00000000" w:rsidRPr="00000000" w14:paraId="000000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76" w:lineRule="auto"/>
        <w:ind w:left="1134"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Рекомендации к опубликованию статей в журнале ВАК «Компрессорная техника и пневматика» и журнале «Газотурбинные технологии»;</w:t>
      </w:r>
    </w:p>
    <w:p w:rsidR="00000000" w:rsidDel="00000000" w:rsidP="00000000" w:rsidRDefault="00000000" w:rsidRPr="00000000" w14:paraId="000000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ffffff" w:val="clear"/>
        <w:spacing w:after="0" w:before="0" w:line="276" w:lineRule="auto"/>
        <w:ind w:left="1134"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Кофе-брейки, обеды, торжественный фуршет;</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1134"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ИНФОРМАЦИОННЫЕ СПОНСОРЫ:</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Журнал «Компрессорная техника и пневматика», журнал «Газотурбинные технологии».</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ПО ВСЕМ ВОПРОСАМ ОБРАЩАТЬСЯ:</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09"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Координатор мероприятия от АО НИИТК</w:t>
      </w: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Костылева Елена Евгеньевна, тел </w:t>
      </w:r>
      <w:r w:rsidDel="00000000" w:rsidR="00000000" w:rsidRPr="00000000">
        <w:rPr>
          <w:rFonts w:ascii="Times New Roman" w:cs="Times New Roman" w:eastAsia="Times New Roman" w:hAnsi="Times New Roman"/>
          <w:b w:val="0"/>
          <w:i w:val="0"/>
          <w:smallCaps w:val="0"/>
          <w:strike w:val="0"/>
          <w:color w:val="231f20"/>
          <w:sz w:val="22"/>
          <w:szCs w:val="22"/>
          <w:highlight w:val="white"/>
          <w:u w:val="none"/>
          <w:vertAlign w:val="baseline"/>
          <w:rtl w:val="0"/>
        </w:rPr>
        <w:t xml:space="preserve">+7 (843) 221-53-53 (доб.9549), email: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231f20"/>
          <w:sz w:val="22"/>
          <w:szCs w:val="22"/>
          <w:highlight w:val="white"/>
          <w:u w:val="none"/>
          <w:vertAlign w:val="baseline"/>
          <w:rtl w:val="0"/>
        </w:rPr>
        <w:t xml:space="preserve">elena.kostyleva@niitk.ru.</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Технические секретари секций:</w:t>
      </w:r>
      <w:r w:rsidDel="00000000" w:rsidR="00000000" w:rsidRPr="00000000">
        <w:rPr>
          <w:rtl w:val="0"/>
        </w:rPr>
      </w:r>
    </w:p>
    <w:tbl>
      <w:tblPr>
        <w:tblStyle w:val="Table2"/>
        <w:tblW w:w="9864.999999999998" w:type="dxa"/>
        <w:jc w:val="left"/>
        <w:tblInd w:w="709.0" w:type="dxa"/>
        <w:tblLayout w:type="fixed"/>
        <w:tblLook w:val="0000"/>
      </w:tblPr>
      <w:tblGrid>
        <w:gridCol w:w="1213"/>
        <w:gridCol w:w="2864"/>
        <w:gridCol w:w="2669"/>
        <w:gridCol w:w="3119"/>
        <w:tblGridChange w:id="0">
          <w:tblGrid>
            <w:gridCol w:w="1213"/>
            <w:gridCol w:w="2864"/>
            <w:gridCol w:w="2669"/>
            <w:gridCol w:w="3119"/>
          </w:tblGrid>
        </w:tblGridChange>
      </w:tblGrid>
      <w:tr>
        <w:trPr>
          <w:cantSplit w:val="0"/>
          <w:tblHeader w:val="0"/>
        </w:trPr>
        <w:tc>
          <w:tcPr>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Секция 1</w:t>
            </w:r>
            <w:r w:rsidDel="00000000" w:rsidR="00000000" w:rsidRPr="00000000">
              <w:rPr>
                <w:rtl w:val="0"/>
              </w:rPr>
            </w:r>
          </w:p>
        </w:tc>
        <w:tc>
          <w:tcPr>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Паранина Ольга Юрьевна, начальник бюро НИИТК</w:t>
            </w:r>
          </w:p>
        </w:tc>
        <w:tc>
          <w:tcPr>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тел +7 (843) 221-53-53 (доб.9683)</w:t>
            </w:r>
          </w:p>
        </w:tc>
        <w:tc>
          <w:tcPr>
            <w:vAlign w:val="top"/>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3" w:right="0" w:firstLine="7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olga.paranina@niitk.ru</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Секция 2</w:t>
            </w:r>
            <w:r w:rsidDel="00000000" w:rsidR="00000000" w:rsidRPr="00000000">
              <w:rPr>
                <w:rtl w:val="0"/>
              </w:rPr>
            </w:r>
          </w:p>
        </w:tc>
        <w:tc>
          <w:tcPr>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Хасанов Нариман Гаязович, научный сотрудник НИИТК</w:t>
            </w:r>
          </w:p>
        </w:tc>
        <w:tc>
          <w:tcPr>
            <w:vAlign w:val="top"/>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тел +7 (843) 221-53-53 (доб.9785)</w:t>
            </w:r>
          </w:p>
        </w:tc>
        <w:tc>
          <w:tcPr>
            <w:vAlign w:val="top"/>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Nariman.Khasanov@niitk.ru</w:t>
            </w:r>
          </w:p>
        </w:tc>
      </w:tr>
      <w:tr>
        <w:trPr>
          <w:cantSplit w:val="0"/>
          <w:tblHeader w:val="0"/>
        </w:trPr>
        <w:tc>
          <w:tcPr>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Секция 3</w:t>
            </w:r>
            <w:r w:rsidDel="00000000" w:rsidR="00000000" w:rsidRPr="00000000">
              <w:rPr>
                <w:rtl w:val="0"/>
              </w:rPr>
            </w:r>
          </w:p>
        </w:tc>
        <w:tc>
          <w:tcPr>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Габдрахманова Зухра Равкатовна, ведущий инженер-технолог НИИТК</w:t>
            </w:r>
          </w:p>
        </w:tc>
        <w:tc>
          <w:tcPr>
            <w:vAlign w:val="top"/>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тел +7 (843) 221-53-53 (доб.9490)</w:t>
            </w:r>
          </w:p>
        </w:tc>
        <w:tc>
          <w:tcPr>
            <w:vAlign w:val="top"/>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zyhra.gabdrakhmanova@niitk.ru</w:t>
            </w:r>
          </w:p>
        </w:tc>
      </w:tr>
    </w:tbl>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ПОРЯДОК ОФОРМЛЕНИЯ УЧАСТИЯ В КОНФЕРЕНЦИИ</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09" w:right="0" w:firstLine="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Представление статей. Статьи принимаются только на русском языке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через сайт НИИТК</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вместе с заявкой на участие в конференции. Правила оформления статьи (Приложение 1). Обращаем внимание на срок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до 15.03.2024г.</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69"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Форма доступна по адресу</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https://niitk-kazan.ru/conference/requirements-for-reports/ </w:t>
      </w:r>
    </w:p>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09" w:right="0" w:firstLine="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После сообщения от технического секретаря секции о принятии статьи оплатить организационный взнос. Обращаем внимание на срок –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до 01.04.2024г</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069"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Электронная почта Конференции:</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MNTK2024@niitk.ru</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
          <w:szCs w:val="23"/>
          <w:u w:val="none"/>
          <w:shd w:fill="auto" w:val="clear"/>
          <w:vertAlign w:val="baseline"/>
          <w:rtl w:val="0"/>
        </w:rPr>
        <w:t xml:space="preserve">Более подробная информация размещена на сайте:</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https://niitk-kazan.ru/</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709" w:right="0" w:firstLine="56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Будем рады видеть Вас в числе участников конференции на гостеприимной земле Татарстана!</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Приложение 1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ПРАВИЛА ОФОРМЛЕНИЯ ДОКЛАДОВ</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76" w:lineRule="auto"/>
        <w:ind w:left="0" w:right="0" w:firstLine="28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Авторы предоставляют в оргкомитет конференции zip-архив, содержащий:</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120" w:before="0" w:line="276" w:lineRule="auto"/>
        <w:ind w:left="0" w:right="0" w:firstLine="993"/>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статью, сконвертированную в формат PDF; </w:t>
      </w:r>
    </w:p>
    <w:p w:rsidR="00000000" w:rsidDel="00000000" w:rsidP="00000000" w:rsidRDefault="00000000" w:rsidRPr="00000000" w14:paraId="0000005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 w:val="left" w:leader="none" w:pos="284"/>
        </w:tabs>
        <w:spacing w:after="120" w:before="0" w:line="276" w:lineRule="auto"/>
        <w:ind w:left="0" w:right="0" w:firstLine="993"/>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сопроводительное письмо на имя Председателя научного комитета, управляющего директора АО «НИИтурбокомпрессор им. В.Б. Шнеппа» Ахметзянова Альберта Мингаязовича;</w:t>
      </w:r>
    </w:p>
    <w:p w:rsidR="00000000" w:rsidDel="00000000" w:rsidP="00000000" w:rsidRDefault="00000000" w:rsidRPr="00000000" w14:paraId="000000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120" w:before="0" w:line="276" w:lineRule="auto"/>
        <w:ind w:left="0" w:right="0" w:firstLine="993"/>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оригинал статьи в Microsoft Word;</w:t>
      </w:r>
    </w:p>
    <w:p w:rsidR="00000000" w:rsidDel="00000000" w:rsidP="00000000" w:rsidRDefault="00000000" w:rsidRPr="00000000" w14:paraId="0000006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120" w:before="0" w:line="276" w:lineRule="auto"/>
        <w:ind w:left="0" w:right="0" w:firstLine="993"/>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подписанные файлы рисунков;</w:t>
      </w:r>
    </w:p>
    <w:p w:rsidR="00000000" w:rsidDel="00000000" w:rsidP="00000000" w:rsidRDefault="00000000" w:rsidRPr="00000000" w14:paraId="000000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120" w:before="0" w:line="276" w:lineRule="auto"/>
        <w:ind w:left="0" w:right="0" w:firstLine="993"/>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сведения об авторах (ФИО, организация, должность, конт. телефон и е-mail);</w:t>
      </w:r>
    </w:p>
    <w:p w:rsidR="00000000" w:rsidDel="00000000" w:rsidP="00000000" w:rsidRDefault="00000000" w:rsidRPr="00000000" w14:paraId="000000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120" w:before="0" w:line="276" w:lineRule="auto"/>
        <w:ind w:left="0" w:right="0" w:firstLine="993"/>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акт экспертизы о возможности опубликования в открытой печати.</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Файлы должны иметь имя, составленное из фамилий и инициалов авторов, например, IvanovIIPetrovVD.pdf, IvanovIIPetrovVD.zip. Размер PDF файла не должен превышать 6 МБ.</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Структура статьи:</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firstLine="273"/>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УДК;</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firstLine="273"/>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название;</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firstLine="273"/>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инициалы автора (авторов), фамилия;</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firstLine="273"/>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организация;</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firstLine="273"/>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текст доклада;</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720" w:right="0" w:firstLine="273"/>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список литературы.</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Количество соавторов в одной статье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не более 5 человек.</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Объем одной статьи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от 6 до 10 страниц.</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Место работы авторов и должность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прописываются полностью (сокращения допускаются только в написании правовой формы организации), например, ФГБОУ ВО «Казанский национальный исследовательский технологический университет».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Ученая степень записывается: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канд. техн. наук, докт. техн. наук; должность прописывается полностью, например, канд.техн.наук, доцент кафедры «Инженерная экология».</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Стиль шрифта</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Times New Roman, размер шрифта 14 пт, междустрочный интервал 1,5 со вставкой номеров страниц, абзацный отступ 1,25 см, выравнивание по ширине.</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Формат</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А4.</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Поля:</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верхнее 1,5 см, нижнее 2,0 см, левое 3,0 см, правое 1,25 см.</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Для набора формул</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может применяться редактор формул, встроенный в Microsoft Word, либо MathType, размер 14. </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Внимание:</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Не допускается применять оба редактора в одной статье.</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Рисунки, схемы, диаграммы и таблицы</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должны быть вставлены в текст, подписаны и иметь ссылку на него в тесте статьи.</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Рисунки, схемы и диаграммы могут быть черно-белыми, в градациях серого или цветными, количество до 10. Растровые рисунки и фотографии должны иметь разрешение не менее 300 точек на дюйм (dpi). При экспорте рисунков из программ векторной графики рекомендуется выбирать разрешение 600 dpi. Рекомендуется использовать формат .JPG. Рисунки нумеруются по порядку – Рис. 1. Рисунки выравниваются по центру, название рисунка – после рисунка (выравнивание по центру, без абзацного отступа), после подписи к рисунку – пустая строка и далее – продолжение текста.</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Таблицы нумеруются по порядку – Таблица 1, выравнивание по правому краю. Далее отдельно название таблицы по центру полужирным шрифтом.</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Оформление списка литературы</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по ГОСТ Р 7.0.100–2018 «Библиографическая запись. Библиографическое описание. Общие требования и правила составления». </w:t>
      </w:r>
      <w:r w:rsidDel="00000000" w:rsidR="00000000" w:rsidRPr="00000000">
        <w:rPr>
          <w:rFonts w:ascii="Times New Roman" w:cs="Times New Roman" w:eastAsia="Times New Roman" w:hAnsi="Times New Roman"/>
          <w:b w:val="0"/>
          <w:i w:val="1"/>
          <w:smallCaps w:val="0"/>
          <w:strike w:val="0"/>
          <w:color w:val="000000"/>
          <w:sz w:val="22"/>
          <w:szCs w:val="22"/>
          <w:u w:val="single"/>
          <w:shd w:fill="auto" w:val="clear"/>
          <w:vertAlign w:val="baseline"/>
          <w:rtl w:val="0"/>
        </w:rPr>
        <w:t xml:space="preserve">Оптимальное количество ссылок на использованную литературу</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10. Допустимый минимум – 6 ссылок. Не менее 2/3 ссылок должно быть не старше 2020 года.</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Материалы статьи проходят научное рецензирование, но не редактируются.</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sectPr>
      <w:pgSz w:h="16838" w:w="11906" w:orient="portrait"/>
      <w:pgMar w:bottom="720" w:top="993"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decimal"/>
      <w:lvlText w:val="%1."/>
      <w:lvlJc w:val="left"/>
      <w:pPr>
        <w:ind w:left="1429" w:hanging="360"/>
      </w:pPr>
      <w:rPr>
        <w:b w:val="0"/>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4">
    <w:lvl w:ilvl="0">
      <w:start w:val="1"/>
      <w:numFmt w:val="bullet"/>
      <w:lvlText w:val="▪"/>
      <w:lvlJc w:val="left"/>
      <w:pPr>
        <w:ind w:left="1429" w:hanging="360"/>
      </w:pPr>
      <w:rPr>
        <w:rFonts w:ascii="Noto Sans Symbols" w:cs="Noto Sans Symbols" w:eastAsia="Noto Sans Symbols" w:hAnsi="Noto Sans Symbols"/>
        <w:vertAlign w:val="baseline"/>
      </w:rPr>
    </w:lvl>
    <w:lvl w:ilvl="1">
      <w:start w:val="1"/>
      <w:numFmt w:val="bullet"/>
      <w:lvlText w:val="o"/>
      <w:lvlJc w:val="left"/>
      <w:pPr>
        <w:ind w:left="2149" w:hanging="360"/>
      </w:pPr>
      <w:rPr>
        <w:rFonts w:ascii="Courier New" w:cs="Courier New" w:eastAsia="Courier New" w:hAnsi="Courier New"/>
        <w:vertAlign w:val="baseline"/>
      </w:rPr>
    </w:lvl>
    <w:lvl w:ilvl="2">
      <w:start w:val="1"/>
      <w:numFmt w:val="bullet"/>
      <w:lvlText w:val="▪"/>
      <w:lvlJc w:val="left"/>
      <w:pPr>
        <w:ind w:left="2869" w:hanging="360"/>
      </w:pPr>
      <w:rPr>
        <w:rFonts w:ascii="Noto Sans Symbols" w:cs="Noto Sans Symbols" w:eastAsia="Noto Sans Symbols" w:hAnsi="Noto Sans Symbols"/>
        <w:vertAlign w:val="baseline"/>
      </w:rPr>
    </w:lvl>
    <w:lvl w:ilvl="3">
      <w:start w:val="1"/>
      <w:numFmt w:val="bullet"/>
      <w:lvlText w:val="●"/>
      <w:lvlJc w:val="left"/>
      <w:pPr>
        <w:ind w:left="3589" w:hanging="360"/>
      </w:pPr>
      <w:rPr>
        <w:rFonts w:ascii="Noto Sans Symbols" w:cs="Noto Sans Symbols" w:eastAsia="Noto Sans Symbols" w:hAnsi="Noto Sans Symbols"/>
        <w:vertAlign w:val="baseline"/>
      </w:rPr>
    </w:lvl>
    <w:lvl w:ilvl="4">
      <w:start w:val="1"/>
      <w:numFmt w:val="bullet"/>
      <w:lvlText w:val="o"/>
      <w:lvlJc w:val="left"/>
      <w:pPr>
        <w:ind w:left="4309" w:hanging="360"/>
      </w:pPr>
      <w:rPr>
        <w:rFonts w:ascii="Courier New" w:cs="Courier New" w:eastAsia="Courier New" w:hAnsi="Courier New"/>
        <w:vertAlign w:val="baseline"/>
      </w:rPr>
    </w:lvl>
    <w:lvl w:ilvl="5">
      <w:start w:val="1"/>
      <w:numFmt w:val="bullet"/>
      <w:lvlText w:val="▪"/>
      <w:lvlJc w:val="left"/>
      <w:pPr>
        <w:ind w:left="5029" w:hanging="360"/>
      </w:pPr>
      <w:rPr>
        <w:rFonts w:ascii="Noto Sans Symbols" w:cs="Noto Sans Symbols" w:eastAsia="Noto Sans Symbols" w:hAnsi="Noto Sans Symbols"/>
        <w:vertAlign w:val="baseline"/>
      </w:rPr>
    </w:lvl>
    <w:lvl w:ilvl="6">
      <w:start w:val="1"/>
      <w:numFmt w:val="bullet"/>
      <w:lvlText w:val="●"/>
      <w:lvlJc w:val="left"/>
      <w:pPr>
        <w:ind w:left="5749" w:hanging="360"/>
      </w:pPr>
      <w:rPr>
        <w:rFonts w:ascii="Noto Sans Symbols" w:cs="Noto Sans Symbols" w:eastAsia="Noto Sans Symbols" w:hAnsi="Noto Sans Symbols"/>
        <w:vertAlign w:val="baseline"/>
      </w:rPr>
    </w:lvl>
    <w:lvl w:ilvl="7">
      <w:start w:val="1"/>
      <w:numFmt w:val="bullet"/>
      <w:lvlText w:val="o"/>
      <w:lvlJc w:val="left"/>
      <w:pPr>
        <w:ind w:left="6469" w:hanging="360"/>
      </w:pPr>
      <w:rPr>
        <w:rFonts w:ascii="Courier New" w:cs="Courier New" w:eastAsia="Courier New" w:hAnsi="Courier New"/>
        <w:vertAlign w:val="baseline"/>
      </w:rPr>
    </w:lvl>
    <w:lvl w:ilvl="8">
      <w:start w:val="1"/>
      <w:numFmt w:val="bullet"/>
      <w:lvlText w:val="▪"/>
      <w:lvlJc w:val="left"/>
      <w:pPr>
        <w:ind w:left="7189"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1429" w:hanging="360"/>
      </w:pPr>
      <w:rPr>
        <w:rFonts w:ascii="Noto Sans Symbols" w:cs="Noto Sans Symbols" w:eastAsia="Noto Sans Symbols" w:hAnsi="Noto Sans Symbols"/>
        <w:vertAlign w:val="baseline"/>
      </w:rPr>
    </w:lvl>
    <w:lvl w:ilvl="1">
      <w:start w:val="1"/>
      <w:numFmt w:val="bullet"/>
      <w:lvlText w:val="o"/>
      <w:lvlJc w:val="left"/>
      <w:pPr>
        <w:ind w:left="2149" w:hanging="360"/>
      </w:pPr>
      <w:rPr>
        <w:rFonts w:ascii="Courier New" w:cs="Courier New" w:eastAsia="Courier New" w:hAnsi="Courier New"/>
        <w:vertAlign w:val="baseline"/>
      </w:rPr>
    </w:lvl>
    <w:lvl w:ilvl="2">
      <w:start w:val="1"/>
      <w:numFmt w:val="bullet"/>
      <w:lvlText w:val="▪"/>
      <w:lvlJc w:val="left"/>
      <w:pPr>
        <w:ind w:left="2869" w:hanging="360"/>
      </w:pPr>
      <w:rPr>
        <w:rFonts w:ascii="Noto Sans Symbols" w:cs="Noto Sans Symbols" w:eastAsia="Noto Sans Symbols" w:hAnsi="Noto Sans Symbols"/>
        <w:vertAlign w:val="baseline"/>
      </w:rPr>
    </w:lvl>
    <w:lvl w:ilvl="3">
      <w:start w:val="1"/>
      <w:numFmt w:val="bullet"/>
      <w:lvlText w:val="●"/>
      <w:lvlJc w:val="left"/>
      <w:pPr>
        <w:ind w:left="3589" w:hanging="360"/>
      </w:pPr>
      <w:rPr>
        <w:rFonts w:ascii="Noto Sans Symbols" w:cs="Noto Sans Symbols" w:eastAsia="Noto Sans Symbols" w:hAnsi="Noto Sans Symbols"/>
        <w:vertAlign w:val="baseline"/>
      </w:rPr>
    </w:lvl>
    <w:lvl w:ilvl="4">
      <w:start w:val="1"/>
      <w:numFmt w:val="bullet"/>
      <w:lvlText w:val="o"/>
      <w:lvlJc w:val="left"/>
      <w:pPr>
        <w:ind w:left="4309" w:hanging="360"/>
      </w:pPr>
      <w:rPr>
        <w:rFonts w:ascii="Courier New" w:cs="Courier New" w:eastAsia="Courier New" w:hAnsi="Courier New"/>
        <w:vertAlign w:val="baseline"/>
      </w:rPr>
    </w:lvl>
    <w:lvl w:ilvl="5">
      <w:start w:val="1"/>
      <w:numFmt w:val="bullet"/>
      <w:lvlText w:val="▪"/>
      <w:lvlJc w:val="left"/>
      <w:pPr>
        <w:ind w:left="5029" w:hanging="360"/>
      </w:pPr>
      <w:rPr>
        <w:rFonts w:ascii="Noto Sans Symbols" w:cs="Noto Sans Symbols" w:eastAsia="Noto Sans Symbols" w:hAnsi="Noto Sans Symbols"/>
        <w:vertAlign w:val="baseline"/>
      </w:rPr>
    </w:lvl>
    <w:lvl w:ilvl="6">
      <w:start w:val="1"/>
      <w:numFmt w:val="bullet"/>
      <w:lvlText w:val="●"/>
      <w:lvlJc w:val="left"/>
      <w:pPr>
        <w:ind w:left="5749" w:hanging="360"/>
      </w:pPr>
      <w:rPr>
        <w:rFonts w:ascii="Noto Sans Symbols" w:cs="Noto Sans Symbols" w:eastAsia="Noto Sans Symbols" w:hAnsi="Noto Sans Symbols"/>
        <w:vertAlign w:val="baseline"/>
      </w:rPr>
    </w:lvl>
    <w:lvl w:ilvl="7">
      <w:start w:val="1"/>
      <w:numFmt w:val="bullet"/>
      <w:lvlText w:val="o"/>
      <w:lvlJc w:val="left"/>
      <w:pPr>
        <w:ind w:left="6469" w:hanging="360"/>
      </w:pPr>
      <w:rPr>
        <w:rFonts w:ascii="Courier New" w:cs="Courier New" w:eastAsia="Courier New" w:hAnsi="Courier New"/>
        <w:vertAlign w:val="baseline"/>
      </w:rPr>
    </w:lvl>
    <w:lvl w:ilvl="8">
      <w:start w:val="1"/>
      <w:numFmt w:val="bullet"/>
      <w:lvlText w:val="▪"/>
      <w:lvlJc w:val="left"/>
      <w:pPr>
        <w:ind w:left="7189"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8" w:right="0" w:hanging="218"/>
      <w:jc w:val="left"/>
    </w:pPr>
    <w:rPr>
      <w:rFonts w:ascii="Calibri" w:cs="Calibri" w:eastAsia="Calibri" w:hAnsi="Calibri"/>
      <w:b w:val="1"/>
      <w:i w:val="1"/>
      <w:smallCaps w:val="0"/>
      <w:strike w:val="0"/>
      <w:color w:val="000000"/>
      <w:sz w:val="24"/>
      <w:szCs w:val="24"/>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Обычный">
    <w:name w:val="Обычный"/>
    <w:next w:val="Обычный"/>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ru-RU"/>
    </w:rPr>
  </w:style>
  <w:style w:type="paragraph" w:styleId="Заголовок1">
    <w:name w:val="Заголовок 1"/>
    <w:basedOn w:val="Обычный"/>
    <w:next w:val="Обычный"/>
    <w:autoRedefine w:val="0"/>
    <w:hidden w:val="0"/>
    <w:qFormat w:val="0"/>
    <w:pPr>
      <w:keepNext w:val="1"/>
      <w:keepLines w:val="1"/>
      <w:suppressAutoHyphens w:val="1"/>
      <w:spacing w:after="0" w:before="240" w:line="276" w:lineRule="auto"/>
      <w:ind w:leftChars="-1" w:rightChars="0" w:firstLineChars="-1"/>
      <w:textDirection w:val="btLr"/>
      <w:textAlignment w:val="top"/>
      <w:outlineLvl w:val="0"/>
    </w:pPr>
    <w:rPr>
      <w:rFonts w:ascii="Cambria" w:eastAsia="Times New Roman" w:hAnsi="Cambria"/>
      <w:color w:val="365f91"/>
      <w:w w:val="100"/>
      <w:position w:val="-1"/>
      <w:sz w:val="32"/>
      <w:szCs w:val="32"/>
      <w:effect w:val="none"/>
      <w:vertAlign w:val="baseline"/>
      <w:cs w:val="0"/>
      <w:em w:val="none"/>
      <w:lang w:bidi="ar-SA" w:eastAsia="und" w:val="und"/>
    </w:rPr>
  </w:style>
  <w:style w:type="paragraph" w:styleId="Заголовок2">
    <w:name w:val="Заголовок 2"/>
    <w:basedOn w:val="Обычный"/>
    <w:next w:val="Заголовок2"/>
    <w:autoRedefine w:val="0"/>
    <w:hidden w:val="0"/>
    <w:qFormat w:val="0"/>
    <w:pPr>
      <w:suppressAutoHyphens w:val="1"/>
      <w:spacing w:after="100" w:afterAutospacing="1" w:before="100" w:beforeAutospacing="1" w:line="240" w:lineRule="auto"/>
      <w:ind w:leftChars="-1" w:rightChars="0" w:firstLineChars="-1"/>
      <w:textDirection w:val="btLr"/>
      <w:textAlignment w:val="top"/>
      <w:outlineLvl w:val="1"/>
    </w:pPr>
    <w:rPr>
      <w:rFonts w:ascii="Times New Roman" w:eastAsia="Times New Roman" w:hAnsi="Times New Roman"/>
      <w:b w:val="1"/>
      <w:bCs w:val="1"/>
      <w:w w:val="100"/>
      <w:position w:val="-1"/>
      <w:sz w:val="36"/>
      <w:szCs w:val="36"/>
      <w:effect w:val="none"/>
      <w:vertAlign w:val="baseline"/>
      <w:cs w:val="0"/>
      <w:em w:val="none"/>
      <w:lang w:bidi="ar-SA" w:eastAsia="ru-RU" w:val="und"/>
    </w:rPr>
  </w:style>
  <w:style w:type="paragraph" w:styleId="Заголовок3">
    <w:name w:val="Заголовок 3"/>
    <w:basedOn w:val="Обычный"/>
    <w:next w:val="Обычный"/>
    <w:autoRedefine w:val="0"/>
    <w:hidden w:val="0"/>
    <w:qFormat w:val="1"/>
    <w:pPr>
      <w:keepNext w:val="1"/>
      <w:keepLines w:val="1"/>
      <w:suppressAutoHyphens w:val="1"/>
      <w:spacing w:after="0" w:before="200" w:line="276" w:lineRule="auto"/>
      <w:ind w:leftChars="-1" w:rightChars="0" w:firstLineChars="-1"/>
      <w:textDirection w:val="btLr"/>
      <w:textAlignment w:val="top"/>
      <w:outlineLvl w:val="2"/>
    </w:pPr>
    <w:rPr>
      <w:rFonts w:ascii="Cambria" w:eastAsia="Times New Roman" w:hAnsi="Cambria"/>
      <w:b w:val="1"/>
      <w:bCs w:val="1"/>
      <w:color w:val="4f81bd"/>
      <w:w w:val="100"/>
      <w:position w:val="-1"/>
      <w:sz w:val="20"/>
      <w:szCs w:val="20"/>
      <w:effect w:val="none"/>
      <w:vertAlign w:val="baseline"/>
      <w:cs w:val="0"/>
      <w:em w:val="none"/>
      <w:lang w:bidi="ar-SA" w:eastAsia="und" w:val="und"/>
    </w:rPr>
  </w:style>
  <w:style w:type="character" w:styleId="Основнойшрифтабзаца">
    <w:name w:val="Основной шрифт абзаца"/>
    <w:next w:val="Основнойшрифтабзаца"/>
    <w:autoRedefine w:val="0"/>
    <w:hidden w:val="0"/>
    <w:qFormat w:val="1"/>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1"/>
    <w:pPr>
      <w:suppressAutoHyphens w:val="1"/>
      <w:spacing w:line="1" w:lineRule="atLeast"/>
      <w:ind w:leftChars="-1" w:rightChars="0" w:firstLineChars="-1"/>
      <w:textDirection w:val="btLr"/>
      <w:textAlignment w:val="top"/>
      <w:outlineLvl w:val="0"/>
    </w:pPr>
  </w:style>
  <w:style w:type="table" w:styleId="Сеткатаблицы">
    <w:name w:val="Сетка таблицы"/>
    <w:basedOn w:val="Обычнаятаблица"/>
    <w:next w:val="Сеткатаблицы"/>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Сеткатаблицы"/>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Обычный(веб)">
    <w:name w:val="Обычный (веб)"/>
    <w:basedOn w:val="Обычный"/>
    <w:next w:val="Обычный(веб)"/>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ru-RU" w:val="ru-RU"/>
    </w:rPr>
  </w:style>
  <w:style w:type="character" w:styleId="Заголовок2Знак">
    <w:name w:val="Заголовок 2 Знак"/>
    <w:next w:val="Заголовок2Знак"/>
    <w:autoRedefine w:val="0"/>
    <w:hidden w:val="0"/>
    <w:qFormat w:val="0"/>
    <w:rPr>
      <w:rFonts w:ascii="Times New Roman" w:cs="Times New Roman" w:eastAsia="Times New Roman" w:hAnsi="Times New Roman"/>
      <w:b w:val="1"/>
      <w:bCs w:val="1"/>
      <w:w w:val="100"/>
      <w:position w:val="-1"/>
      <w:sz w:val="36"/>
      <w:szCs w:val="36"/>
      <w:effect w:val="none"/>
      <w:vertAlign w:val="baseline"/>
      <w:cs w:val="0"/>
      <w:em w:val="none"/>
      <w:lang w:eastAsia="ru-RU"/>
    </w:rPr>
  </w:style>
  <w:style w:type="paragraph" w:styleId="Абзацсписка">
    <w:name w:val="Абзац списка"/>
    <w:basedOn w:val="Обычный"/>
    <w:next w:val="Абзацсписка"/>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ru-RU"/>
    </w:rPr>
  </w:style>
  <w:style w:type="character" w:styleId="Заголовок1Знак">
    <w:name w:val="Заголовок 1 Знак"/>
    <w:next w:val="Заголовок1Знак"/>
    <w:autoRedefine w:val="0"/>
    <w:hidden w:val="0"/>
    <w:qFormat w:val="0"/>
    <w:rPr>
      <w:rFonts w:ascii="Cambria" w:cs="Times New Roman" w:eastAsia="Times New Roman" w:hAnsi="Cambria"/>
      <w:color w:val="365f91"/>
      <w:w w:val="100"/>
      <w:position w:val="-1"/>
      <w:sz w:val="32"/>
      <w:szCs w:val="32"/>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Times New Roman" w:eastAsia="Times New Roman" w:hAnsi="Cambria"/>
      <w:b w:val="1"/>
      <w:bCs w:val="1"/>
      <w:color w:val="4f81bd"/>
      <w:w w:val="100"/>
      <w:position w:val="-1"/>
      <w:effect w:val="none"/>
      <w:vertAlign w:val="baseline"/>
      <w:cs w:val="0"/>
      <w:em w:val="none"/>
      <w:lang/>
    </w:rPr>
  </w:style>
  <w:style w:type="character" w:styleId="Гиперссылка">
    <w:name w:val="Гиперссылка"/>
    <w:next w:val="Гиперссылка"/>
    <w:autoRedefine w:val="0"/>
    <w:hidden w:val="0"/>
    <w:qFormat w:val="1"/>
    <w:rPr>
      <w:color w:val="0000ff"/>
      <w:w w:val="100"/>
      <w:position w:val="-1"/>
      <w:u w:val="single"/>
      <w:effect w:val="none"/>
      <w:vertAlign w:val="baseline"/>
      <w:cs w:val="0"/>
      <w:em w:val="none"/>
      <w:lang/>
    </w:rPr>
  </w:style>
  <w:style w:type="character" w:styleId="js-phone-number">
    <w:name w:val="js-phone-number"/>
    <w:basedOn w:val="Основнойшрифтабзаца"/>
    <w:next w:val="js-phone-number"/>
    <w:autoRedefine w:val="0"/>
    <w:hidden w:val="0"/>
    <w:qFormat w:val="0"/>
    <w:rPr>
      <w:w w:val="100"/>
      <w:position w:val="-1"/>
      <w:effect w:val="none"/>
      <w:vertAlign w:val="baseline"/>
      <w:cs w:val="0"/>
      <w:em w:val="none"/>
      <w:lang/>
    </w:rPr>
  </w:style>
  <w:style w:type="paragraph" w:styleId="TableParagraph">
    <w:name w:val="Table Paragraph"/>
    <w:basedOn w:val="Обычный"/>
    <w:next w:val="TableParagraph"/>
    <w:autoRedefine w:val="0"/>
    <w:hidden w:val="0"/>
    <w:qFormat w:val="0"/>
    <w:pPr>
      <w:widowControl w:val="0"/>
      <w:suppressAutoHyphens w:val="1"/>
      <w:autoSpaceDE w:val="0"/>
      <w:autoSpaceDN w:val="0"/>
      <w:spacing w:after="0" w:line="315" w:lineRule="atLeast"/>
      <w:ind w:left="108" w:leftChars="-1" w:rightChars="0" w:firstLineChars="-1"/>
      <w:textDirection w:val="btLr"/>
      <w:textAlignment w:val="top"/>
      <w:outlineLvl w:val="0"/>
    </w:pPr>
    <w:rPr>
      <w:rFonts w:ascii="Times New Roman" w:eastAsia="Times New Roman" w:hAnsi="Times New Roman"/>
      <w:w w:val="100"/>
      <w:position w:val="-1"/>
      <w:sz w:val="22"/>
      <w:szCs w:val="22"/>
      <w:effect w:val="none"/>
      <w:vertAlign w:val="baseline"/>
      <w:cs w:val="0"/>
      <w:em w:val="none"/>
      <w:lang w:bidi="ar-SA" w:eastAsia="en-US" w:val="ru-RU"/>
    </w:rPr>
  </w:style>
  <w:style w:type="character" w:styleId="Просмотреннаягиперссылка">
    <w:name w:val="Просмотренная гиперссылка"/>
    <w:next w:val="Просмотреннаягиперссылка"/>
    <w:autoRedefine w:val="0"/>
    <w:hidden w:val="0"/>
    <w:qFormat w:val="1"/>
    <w:rPr>
      <w:color w:val="800080"/>
      <w:w w:val="100"/>
      <w:position w:val="-1"/>
      <w:u w:val="single"/>
      <w:effect w:val="none"/>
      <w:vertAlign w:val="baseline"/>
      <w:cs w:val="0"/>
      <w:em w:val="none"/>
      <w:lang/>
    </w:rPr>
  </w:style>
  <w:style w:type="paragraph" w:styleId="Основнойтекст">
    <w:name w:val="Основной текст"/>
    <w:basedOn w:val="Обычный"/>
    <w:next w:val="Основнойтекст"/>
    <w:autoRedefine w:val="0"/>
    <w:hidden w:val="0"/>
    <w:qFormat w:val="1"/>
    <w:pPr>
      <w:widowControl w:val="0"/>
      <w:suppressAutoHyphens w:val="1"/>
      <w:autoSpaceDE w:val="0"/>
      <w:autoSpaceDN w:val="0"/>
      <w:spacing w:after="0" w:line="240" w:lineRule="auto"/>
      <w:ind w:left="218" w:leftChars="-1" w:rightChars="0" w:firstLineChars="-1"/>
      <w:textDirection w:val="btLr"/>
      <w:textAlignment w:val="top"/>
      <w:outlineLvl w:val="0"/>
    </w:pPr>
    <w:rPr>
      <w:rFonts w:ascii="Arial" w:cs="Arial" w:eastAsia="Arial" w:hAnsi="Arial"/>
      <w:i w:val="1"/>
      <w:w w:val="100"/>
      <w:position w:val="-1"/>
      <w:sz w:val="24"/>
      <w:szCs w:val="24"/>
      <w:effect w:val="none"/>
      <w:vertAlign w:val="baseline"/>
      <w:cs w:val="0"/>
      <w:em w:val="none"/>
      <w:lang w:bidi="ru-RU" w:eastAsia="und" w:val="und"/>
    </w:rPr>
  </w:style>
  <w:style w:type="character" w:styleId="ОсновнойтекстЗнак">
    <w:name w:val="Основной текст Знак"/>
    <w:next w:val="ОсновнойтекстЗнак"/>
    <w:autoRedefine w:val="0"/>
    <w:hidden w:val="0"/>
    <w:qFormat w:val="0"/>
    <w:rPr>
      <w:rFonts w:ascii="Arial" w:cs="Arial" w:eastAsia="Arial" w:hAnsi="Arial"/>
      <w:i w:val="1"/>
      <w:w w:val="100"/>
      <w:position w:val="-1"/>
      <w:sz w:val="24"/>
      <w:szCs w:val="24"/>
      <w:effect w:val="none"/>
      <w:vertAlign w:val="baseline"/>
      <w:cs w:val="0"/>
      <w:em w:val="none"/>
      <w:lang w:bidi="ru-RU"/>
    </w:rPr>
  </w:style>
  <w:style w:type="paragraph" w:styleId="Heading1">
    <w:name w:val="Heading 1"/>
    <w:basedOn w:val="Обычный"/>
    <w:next w:val="Heading1"/>
    <w:autoRedefine w:val="0"/>
    <w:hidden w:val="0"/>
    <w:qFormat w:val="0"/>
    <w:pPr>
      <w:widowControl w:val="0"/>
      <w:suppressAutoHyphens w:val="1"/>
      <w:autoSpaceDE w:val="0"/>
      <w:autoSpaceDN w:val="0"/>
      <w:spacing w:after="0" w:line="240" w:lineRule="auto"/>
      <w:ind w:left="218" w:leftChars="-1" w:rightChars="0" w:firstLineChars="-1"/>
      <w:textDirection w:val="btLr"/>
      <w:textAlignment w:val="top"/>
      <w:outlineLvl w:val="1"/>
    </w:pPr>
    <w:rPr>
      <w:b w:val="1"/>
      <w:bCs w:val="1"/>
      <w:i w:val="1"/>
      <w:w w:val="100"/>
      <w:position w:val="-1"/>
      <w:sz w:val="24"/>
      <w:szCs w:val="24"/>
      <w:effect w:val="none"/>
      <w:vertAlign w:val="baseline"/>
      <w:cs w:val="0"/>
      <w:em w:val="none"/>
      <w:lang w:bidi="ru-RU" w:eastAsia="ru-RU" w:val="ru-RU"/>
    </w:rPr>
  </w:style>
  <w:style w:type="character" w:styleId="Строгий">
    <w:name w:val="Строгий"/>
    <w:next w:val="Строгий"/>
    <w:autoRedefine w:val="0"/>
    <w:hidden w:val="0"/>
    <w:qFormat w:val="0"/>
    <w:rPr>
      <w:b w:val="1"/>
      <w:bCs w:val="1"/>
      <w:w w:val="100"/>
      <w:position w:val="-1"/>
      <w:effect w:val="none"/>
      <w:vertAlign w:val="baseline"/>
      <w:cs w:val="0"/>
      <w:em w:val="none"/>
      <w:lang/>
    </w:rPr>
  </w:style>
  <w:style w:type="character" w:styleId="Выделение">
    <w:name w:val="Выделение"/>
    <w:next w:val="Выделение"/>
    <w:autoRedefine w:val="0"/>
    <w:hidden w:val="0"/>
    <w:qFormat w:val="0"/>
    <w:rPr>
      <w:i w:val="1"/>
      <w:iCs w:val="1"/>
      <w:w w:val="100"/>
      <w:position w:val="-1"/>
      <w:effect w:val="none"/>
      <w:vertAlign w:val="baseline"/>
      <w:cs w:val="0"/>
      <w:em w:val="none"/>
      <w:lang/>
    </w:rPr>
  </w:style>
  <w:style w:type="table" w:styleId="Светлыйсписок">
    <w:name w:val="Светлый список"/>
    <w:basedOn w:val="Обычнаятаблица"/>
    <w:next w:val="Светлыйсписок"/>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Светлыйсписок"/>
      <w:tblStyleRowBandSize w:val="1"/>
      <w:tblStyleColBandSize w:val="1"/>
      <w:jc w:val="left"/>
      <w:tblBorders>
        <w:top w:color="000000" w:space="0" w:sz="8" w:val="single"/>
        <w:left w:color="000000" w:space="0" w:sz="8" w:val="single"/>
        <w:bottom w:color="000000" w:space="0" w:sz="8" w:val="single"/>
        <w:right w:color="000000" w:space="0" w:sz="8" w:val="single"/>
        <w:insideH w:color="auto" w:space="0" w:sz="0" w:val="none"/>
        <w:insideV w:color="auto" w:space="0" w:sz="0" w:val="none"/>
      </w:tblBorders>
    </w:tblPr>
  </w:style>
  <w:style w:type="table" w:styleId="Светлыйсписок-Акцент1">
    <w:name w:val="Светлый список - Акцент 1"/>
    <w:basedOn w:val="Обычнаятаблица"/>
    <w:next w:val="Светлыйсписок-Акцент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Светлыйсписок-Акцент1"/>
      <w:tblStyleRowBandSize w:val="1"/>
      <w:tblStyleColBandSize w:val="1"/>
      <w:jc w:val="left"/>
      <w:tblBorders>
        <w:top w:color="4f81bd" w:space="0" w:sz="8" w:val="single"/>
        <w:left w:color="4f81bd" w:space="0" w:sz="8" w:val="single"/>
        <w:bottom w:color="4f81bd" w:space="0" w:sz="8" w:val="single"/>
        <w:right w:color="4f81bd" w:space="0" w:sz="8" w:val="single"/>
        <w:insideH w:color="auto" w:space="0" w:sz="0" w:val="none"/>
        <w:insideV w:color="auto" w:space="0" w:sz="0" w:val="non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list-org.com/search?type=name&amp;val=%D0%90%D0%9A%D0%A6%D0%98%D0%9E%D0%9D%D0%95%D0%A0%D0%9D%D0%9E%D0%95%20%D0%9E%D0%91%D0%A9%D0%95%D0%A1%D0%A2%D0%92%D0%9E%20%20%D0%9D%D0%90%D0%A3%D0%A7%D0%9D%D0%9E-%D0%98%D0%A1%D0%A1%D0%9B%D0%95%D0%94%D0%9E%D0%92%D0%90%D0%A2%D0%95%D0%9B%D0%AC%D0%A1%D0%9A%D0%98%D0%99%20%D0%98%20%D0%9A%D0%9E%D0%9D%D0%A1%D0%A2%D0%A0%D0%A3%D0%9A%D0%A2%D0%9E%D0%A0%D0%A1%D0%9A%D0%98%D0%99%20%D0%98%D0%9D%D0%A1%D0%A2%D0%98%D0%A2%D0%A3%D0%A2%20%D0%A6%D0%95%D0%9D%D0%A2%D0%A0%D0%9E%D0%91%D0%95%D0%96%D0%9D%D0%AB%D0%A5%20%D0%98%20%D0%A0%D0%9E%D0%A2%D0%9E%D0%A0%D0%9D%D0%AB%D0%A5%20%D0%9A%D0%9E%D0%9C%D0%9F%D0%A0%D0%95%D0%A1%D0%A1%D0%9E%D0%A0%D0%9E%D0%92%20%D0%98%D0%9C.%D0%92.%D0%91.%D0%A8%D0%9D%D0%95%D0%9F%D0%9F%D0%9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AJwTCbmxOHMpioy/Bf41sVsU/A==">CgMxLjA4AHIhMVU4b3pjZjMzcEhCTzlZRXJKU290ejNOemhjZjBiNEQw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2024-01-22T12:26:00Z</dcterms:created>
  <dc:creator>user</dc:creator>
</cp:coreProperties>
</file>

<file path=docProps/custom.xml><?xml version="1.0" encoding="utf-8"?>
<Properties xmlns="http://schemas.openxmlformats.org/officeDocument/2006/custom-properties" xmlns:vt="http://schemas.openxmlformats.org/officeDocument/2006/docPropsVTypes"/>
</file>